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color w:val="144B3B"/>
          <w:sz w:val="44"/>
        </w:rPr>
        <w:t>PlantCellTwin reveals a gravity responsive root defense program in Arabidopsis</w:t>
      </w:r>
    </w:p>
    <w:p>
      <w:pPr>
        <w:jc w:val="center"/>
      </w:pPr>
      <w:r>
        <w:rPr>
          <w:i/>
        </w:rPr>
        <w:t>Lissandra Kruse Fuganti</w:t>
        <w:br/>
        <w:t>Applied Computing, Brazil</w:t>
        <w:br/>
        <w:t>Corresponding author: Lissandra Kruse Fuganti</w:t>
      </w:r>
    </w:p>
    <w:p>
      <w:r>
        <w:t>Article type: Research Article</w:t>
      </w:r>
    </w:p>
    <w:p>
      <w:pPr>
        <w:pStyle w:val="Heading1"/>
      </w:pPr>
      <w:r>
        <w:t>Highlights</w:t>
      </w:r>
    </w:p>
    <w:p>
      <w:pPr>
        <w:pStyle w:val="ListBullet"/>
      </w:pPr>
      <w:r>
        <w:t>Independent R/Bioconductor and Python workflows reproduce GLDS-7 root effects with Spearman rho = 0.996.</w:t>
      </w:r>
    </w:p>
    <w:p>
      <w:pPr>
        <w:pStyle w:val="ListBullet"/>
      </w:pPr>
      <w:r>
        <w:t>Canonical affy/limma processing identifies 351 root loci at FDR &lt; 0.05 from 36 raw CEL files.</w:t>
      </w:r>
    </w:p>
    <w:p>
      <w:pPr>
        <w:pStyle w:val="ListBullet"/>
      </w:pPr>
      <w:r>
        <w:t>A 12-gene root defense-regulatory panel is distinct from a six-gene NASA cross-study core stress panel.</w:t>
      </w:r>
    </w:p>
    <w:p>
      <w:pPr>
        <w:pStyle w:val="ListBullet"/>
      </w:pPr>
      <w:r>
        <w:t>The evidence supports a tissue-specific defense program superimposed on broader ROS-plastid-cell-wall stress, not a universal cell state.</w:t>
      </w:r>
    </w:p>
    <w:p>
      <w:pPr>
        <w:pStyle w:val="ListBullet"/>
      </w:pPr>
      <w:r>
        <w:t>GLDS-208 shows that the panel is strongly root-zone structured, with 7 of 11 available genes significant by RNA-seq.</w:t>
      </w:r>
    </w:p>
    <w:p>
      <w:pPr>
        <w:pStyle w:val="ListBullet"/>
      </w:pPr>
      <w:r>
        <w:t>OSD-251 reveals coordinated positive gravity trends for all 12 panel genes, while no individual uG-versus-1G effect passes FDR.</w:t>
      </w:r>
    </w:p>
    <w:p>
      <w:r>
        <w:br w:type="page"/>
      </w:r>
    </w:p>
    <w:p>
      <w:pPr>
        <w:pStyle w:val="Heading1"/>
      </w:pPr>
      <w:r>
        <w:t>Abstract</w:t>
      </w:r>
    </w:p>
    <w:p>
      <w:r>
        <w:t>Plants respond to spaceflight through interacting effects of altered gravity, radiation, hardware, illumination, gas exchange, genotype, and developmental context. We developed PlantCellTwin, an evidence-layered digital-twin framework for tissue-specific Arabidopsis thaliana responses. In NASA GeneLab GLDS-7, 36 raw Affymetrix CEL files were processed independently in R/Bioconductor and Python with tissue-stratified, plate-blocked models. The R/Bioconductor analysis identified 351 root loci at FDR &lt; 0.05. Effects were highly concordant between implementations (Spearman rho = 0.996 across 22,591 loci), and 284 of the top 300 root loci overlapped with identical direction. A 12-gene defense-regulatory panel was positive in GLDS-7 roots and differed from a six-gene literature-derived general stress panel. We then performed targeted validation with two additional NASA datasets. In GLDS-208, 7 of 11 available panel genes differed between 0.5-mm and 1.5-mm root-apex zones by RNA-seq at FDR &lt; 0.05, demonstrating strong developmental-zone structure. In the in-flight fractional-gravity series OSD-251, all 12 panel genes showed positive expression trends with increasing gravity across group means (median Spearman rho = 0.771; exploratory sign-test p = 0.00049), although no individual uG-versus-1G effect passed FDR &lt; 0.05. All 12 official uG-versus-1G estimates were opposite to the GLDS-7 flight-ground direction. The combined evidence identifies a reproducible but context-dependent root defense program and rejects interpretation as a universal spaceflight signature. PlantCellTwin exposes the evidence, uncertainty, and study-specific contrasts through a public simulator. Mechanistic and prospective validation remain necessary.</w:t>
      </w:r>
    </w:p>
    <w:p>
      <w:r>
        <w:t>Keywords: Arabidopsis thaliana; spaceflight; digital twin; NASA GeneLab; transcriptomics; roots; defense signaling; RMA; limma; reproducibility</w:t>
      </w:r>
    </w:p>
    <w:p>
      <w:pPr>
        <w:pStyle w:val="Heading1"/>
      </w:pPr>
      <w:r>
        <w:t>1. Introduction</w:t>
      </w:r>
    </w:p>
    <w:p>
      <w:r>
        <w:t>Plants are central to bioregenerative life-support systems, but the orbital environment differs from terrestrial growth in multiple coupled dimensions. Reduced gravitational loading modifies gravitropic signaling and fluid behavior, while radiation, restricted convection, hardware geometry, illumination, and gas exchange can independently alter cellular state. Consequently, a flight-ground contrast is an exposure bundle rather than an isolated microgravity intervention.</w:t>
      </w:r>
    </w:p>
    <w:p>
      <w:r>
        <w:t>NASA GeneLab and the Open Science Data Repository provide molecular measurements and structured metadata needed to replace generic simulations with traceable biological models. Barker et al. compared 15 Arabidopsis transcriptome studies through common pipelines and showed that assay platform, illumination, hardware, genotype, tissue, and developmental stage materially affect between-study similarity. The same meta-analysis identified recurring changes in stress response, photosynthesis, primary and secondary metabolism, cell-wall processes, and plastid-associated redox regulation.</w:t>
      </w:r>
    </w:p>
    <w:p>
      <w:r>
        <w:t>GLDS-7 is particularly valuable because it contains whole plants and separated root, hypocotyl, and shoot material from replicated International Space Station experiments. Tissue resolution makes it possible to test whether whole-plant averaging hides organ-specific responses. Our initial reanalysis identified a coherent root-up program involving chitin, wounding, salicylic acid, jasmonic acid, ethylene, bacterial and fungal response, cold response, and regulation of defense.</w:t>
      </w:r>
    </w:p>
    <w:p>
      <w:r>
        <w:t>Here we ask whether this program survives independent preprocessing and statistical implementation, whether it transfers to other NASA datasets, and whether it is equivalent to the general six-gene response reported across BRIC experiments. We further define a grounded expansion path using studies selected for tissue match or their ability to decompose gravity, radiation, pressure, light, genotype, splicing, and cell-autonomous responses.</w:t>
      </w:r>
    </w:p>
    <w:p>
      <w:pPr>
        <w:pStyle w:val="Heading1"/>
      </w:pPr>
      <w:r>
        <w:t>2. Results</w:t>
      </w:r>
    </w:p>
    <w:p>
      <w:pPr>
        <w:pStyle w:val="Heading2"/>
      </w:pPr>
      <w:r>
        <w:t>2.1 Independent reproduction from raw CEL files</w:t>
      </w:r>
    </w:p>
    <w:p>
      <w:r>
        <w:t>All 36 GLDS-7/GSE56659 CEL files were reprocessed with affy::rma and limma::eBayes under R 4.4.3. A separate Python implementation performed RMA background adjustment, quantile normalization, median-polish summarization, plate-blocked contrasts, and empirical-Bayes moderation. Both workflows mapped expression to 22,591 Arabidopsis loci using a condition-blind representative-probe rule.</w:t>
      </w:r>
    </w:p>
    <w:tbl>
      <w:tblPr>
        <w:tblStyle w:val="LightShading-Accent1"/>
        <w:tblW w:type="auto" w:w="0"/>
        <w:tblLook w:firstColumn="1" w:firstRow="1" w:lastColumn="0" w:lastRow="0" w:noHBand="0" w:noVBand="1" w:val="04A0"/>
      </w:tblPr>
      <w:tblGrid>
        <w:gridCol w:w="1987"/>
        <w:gridCol w:w="1987"/>
        <w:gridCol w:w="1987"/>
        <w:gridCol w:w="1987"/>
        <w:gridCol w:w="1987"/>
      </w:tblGrid>
      <w:tr>
        <w:trPr>
          <w:cantSplit/>
          <w:tblHeader w:val="true"/>
        </w:trPr>
        <w:tc>
          <w:tcPr>
            <w:tcW w:type="dxa" w:w="1872"/>
            <w:vAlign w:val="center"/>
          </w:tcPr>
          <w:p>
            <w:r>
              <w:t>Tissue</w:t>
            </w:r>
          </w:p>
        </w:tc>
        <w:tc>
          <w:tcPr>
            <w:tcW w:type="dxa" w:w="2232"/>
            <w:vAlign w:val="center"/>
          </w:tcPr>
          <w:p>
            <w:r>
              <w:t>R/Bioconductor FDR &lt; 0.05</w:t>
            </w:r>
          </w:p>
        </w:tc>
        <w:tc>
          <w:tcPr>
            <w:tcW w:type="dxa" w:w="1944"/>
            <w:vAlign w:val="center"/>
          </w:tcPr>
          <w:p>
            <w:r>
              <w:t>Python FDR &lt; 0.05</w:t>
            </w:r>
          </w:p>
        </w:tc>
        <w:tc>
          <w:tcPr>
            <w:tcW w:type="dxa" w:w="1512"/>
            <w:vAlign w:val="center"/>
          </w:tcPr>
          <w:p>
            <w:r>
              <w:t>Effect rho</w:t>
            </w:r>
          </w:p>
        </w:tc>
        <w:tc>
          <w:tcPr>
            <w:tcW w:type="dxa" w:w="1728"/>
            <w:vAlign w:val="center"/>
          </w:tcPr>
          <w:p>
            <w:r>
              <w:t>Top-300 overlap</w:t>
            </w:r>
          </w:p>
        </w:tc>
      </w:tr>
      <w:tr>
        <w:trPr>
          <w:cantSplit/>
        </w:trPr>
        <w:tc>
          <w:tcPr>
            <w:tcW w:type="dxa" w:w="1872"/>
            <w:vAlign w:val="center"/>
          </w:tcPr>
          <w:p>
            <w:r>
              <w:t>Whole plant</w:t>
            </w:r>
          </w:p>
        </w:tc>
        <w:tc>
          <w:tcPr>
            <w:tcW w:type="dxa" w:w="2232"/>
            <w:vAlign w:val="center"/>
          </w:tcPr>
          <w:p>
            <w:r>
              <w:t>0</w:t>
            </w:r>
          </w:p>
        </w:tc>
        <w:tc>
          <w:tcPr>
            <w:tcW w:type="dxa" w:w="1944"/>
            <w:vAlign w:val="center"/>
          </w:tcPr>
          <w:p>
            <w:r>
              <w:t>0</w:t>
            </w:r>
          </w:p>
        </w:tc>
        <w:tc>
          <w:tcPr>
            <w:tcW w:type="dxa" w:w="1512"/>
            <w:vAlign w:val="center"/>
          </w:tcPr>
          <w:p>
            <w:r>
              <w:t>0.994</w:t>
            </w:r>
          </w:p>
        </w:tc>
        <w:tc>
          <w:tcPr>
            <w:tcW w:type="dxa" w:w="1728"/>
            <w:vAlign w:val="center"/>
          </w:tcPr>
          <w:p>
            <w:r>
              <w:t>255</w:t>
            </w:r>
          </w:p>
        </w:tc>
      </w:tr>
      <w:tr>
        <w:trPr>
          <w:cantSplit/>
        </w:trPr>
        <w:tc>
          <w:tcPr>
            <w:tcW w:type="dxa" w:w="1872"/>
            <w:vAlign w:val="center"/>
          </w:tcPr>
          <w:p>
            <w:r>
              <w:t>Shoot</w:t>
            </w:r>
          </w:p>
        </w:tc>
        <w:tc>
          <w:tcPr>
            <w:tcW w:type="dxa" w:w="2232"/>
            <w:vAlign w:val="center"/>
          </w:tcPr>
          <w:p>
            <w:r>
              <w:t>47</w:t>
            </w:r>
          </w:p>
        </w:tc>
        <w:tc>
          <w:tcPr>
            <w:tcW w:type="dxa" w:w="1944"/>
            <w:vAlign w:val="center"/>
          </w:tcPr>
          <w:p>
            <w:r>
              <w:t>30</w:t>
            </w:r>
          </w:p>
        </w:tc>
        <w:tc>
          <w:tcPr>
            <w:tcW w:type="dxa" w:w="1512"/>
            <w:vAlign w:val="center"/>
          </w:tcPr>
          <w:p>
            <w:r>
              <w:t>0.996</w:t>
            </w:r>
          </w:p>
        </w:tc>
        <w:tc>
          <w:tcPr>
            <w:tcW w:type="dxa" w:w="1728"/>
            <w:vAlign w:val="center"/>
          </w:tcPr>
          <w:p>
            <w:r>
              <w:t>256</w:t>
            </w:r>
          </w:p>
        </w:tc>
      </w:tr>
      <w:tr>
        <w:trPr>
          <w:cantSplit/>
        </w:trPr>
        <w:tc>
          <w:tcPr>
            <w:tcW w:type="dxa" w:w="1872"/>
            <w:vAlign w:val="center"/>
          </w:tcPr>
          <w:p>
            <w:r>
              <w:t>Hypocotyl</w:t>
            </w:r>
          </w:p>
        </w:tc>
        <w:tc>
          <w:tcPr>
            <w:tcW w:type="dxa" w:w="2232"/>
            <w:vAlign w:val="center"/>
          </w:tcPr>
          <w:p>
            <w:r>
              <w:t>31</w:t>
            </w:r>
          </w:p>
        </w:tc>
        <w:tc>
          <w:tcPr>
            <w:tcW w:type="dxa" w:w="1944"/>
            <w:vAlign w:val="center"/>
          </w:tcPr>
          <w:p>
            <w:r>
              <w:t>18</w:t>
            </w:r>
          </w:p>
        </w:tc>
        <w:tc>
          <w:tcPr>
            <w:tcW w:type="dxa" w:w="1512"/>
            <w:vAlign w:val="center"/>
          </w:tcPr>
          <w:p>
            <w:r>
              <w:t>0.996</w:t>
            </w:r>
          </w:p>
        </w:tc>
        <w:tc>
          <w:tcPr>
            <w:tcW w:type="dxa" w:w="1728"/>
            <w:vAlign w:val="center"/>
          </w:tcPr>
          <w:p>
            <w:r>
              <w:t>257</w:t>
            </w:r>
          </w:p>
        </w:tc>
      </w:tr>
      <w:tr>
        <w:trPr>
          <w:cantSplit/>
        </w:trPr>
        <w:tc>
          <w:tcPr>
            <w:tcW w:type="dxa" w:w="1872"/>
            <w:vAlign w:val="center"/>
          </w:tcPr>
          <w:p>
            <w:r>
              <w:t>Root</w:t>
            </w:r>
          </w:p>
        </w:tc>
        <w:tc>
          <w:tcPr>
            <w:tcW w:type="dxa" w:w="2232"/>
            <w:vAlign w:val="center"/>
          </w:tcPr>
          <w:p>
            <w:r>
              <w:t>351</w:t>
            </w:r>
          </w:p>
        </w:tc>
        <w:tc>
          <w:tcPr>
            <w:tcW w:type="dxa" w:w="1944"/>
            <w:vAlign w:val="center"/>
          </w:tcPr>
          <w:p>
            <w:r>
              <w:t>286</w:t>
            </w:r>
          </w:p>
        </w:tc>
        <w:tc>
          <w:tcPr>
            <w:tcW w:type="dxa" w:w="1512"/>
            <w:vAlign w:val="center"/>
          </w:tcPr>
          <w:p>
            <w:r>
              <w:t>0.996</w:t>
            </w:r>
          </w:p>
        </w:tc>
        <w:tc>
          <w:tcPr>
            <w:tcW w:type="dxa" w:w="1728"/>
            <w:vAlign w:val="center"/>
          </w:tcPr>
          <w:p>
            <w:r>
              <w:t>284</w:t>
            </w:r>
          </w:p>
        </w:tc>
      </w:tr>
    </w:tbl>
    <w:p>
      <w:r>
        <w:t>Directional agreement was 100% within each top-300 intersection. The larger number of R/Bioconductor discoveries reflects implementation-level differences in preprocessing and variance moderation, whereas the near-identical effect rankings demonstrate stability of the biological ordering.</w:t>
      </w:r>
    </w:p>
    <w:p>
      <w:pPr>
        <w:pStyle w:val="Heading2"/>
      </w:pPr>
      <w:r>
        <w:t>2.2 Root defense and hormone signaling</w:t>
      </w:r>
    </w:p>
    <w:p>
      <w:r>
        <w:t>The root produced the largest FDR-controlled response. All 12 defense/signaling Gene Ontology processes selected before the raw-data test passed the confirmatory enrichment rule in the Python workflow. Each process also showed a positive flight effect independently in plates 2, 4, and 6, reducing the likelihood that the pathway signal arose from one experimental plate.</w:t>
      </w:r>
    </w:p>
    <w:tbl>
      <w:tblPr>
        <w:tblStyle w:val="LightShading-Accent1"/>
        <w:tblW w:type="auto" w:w="0"/>
        <w:tblLook w:firstColumn="1" w:firstRow="1" w:lastColumn="0" w:lastRow="0" w:noHBand="0" w:noVBand="1" w:val="04A0"/>
      </w:tblPr>
      <w:tblGrid>
        <w:gridCol w:w="3312"/>
        <w:gridCol w:w="3312"/>
        <w:gridCol w:w="3312"/>
      </w:tblGrid>
      <w:tr>
        <w:trPr>
          <w:cantSplit/>
          <w:tblHeader w:val="true"/>
        </w:trPr>
        <w:tc>
          <w:tcPr>
            <w:tcW w:type="dxa" w:w="2232"/>
            <w:vAlign w:val="center"/>
          </w:tcPr>
          <w:p>
            <w:r>
              <w:t>Evidence</w:t>
            </w:r>
          </w:p>
        </w:tc>
        <w:tc>
          <w:tcPr>
            <w:tcW w:type="dxa" w:w="3024"/>
            <w:vAlign w:val="center"/>
          </w:tcPr>
          <w:p>
            <w:r>
              <w:t>Root result</w:t>
            </w:r>
          </w:p>
        </w:tc>
        <w:tc>
          <w:tcPr>
            <w:tcW w:type="dxa" w:w="4104"/>
            <w:vAlign w:val="center"/>
          </w:tcPr>
          <w:p>
            <w:r>
              <w:t>Interpretation</w:t>
            </w:r>
          </w:p>
        </w:tc>
      </w:tr>
      <w:tr>
        <w:trPr>
          <w:cantSplit/>
        </w:trPr>
        <w:tc>
          <w:tcPr>
            <w:tcW w:type="dxa" w:w="2232"/>
            <w:vAlign w:val="center"/>
          </w:tcPr>
          <w:p>
            <w:r>
              <w:t>Bioconductor differential expression</w:t>
            </w:r>
          </w:p>
        </w:tc>
        <w:tc>
          <w:tcPr>
            <w:tcW w:type="dxa" w:w="3024"/>
            <w:vAlign w:val="center"/>
          </w:tcPr>
          <w:p>
            <w:r>
              <w:t>351 loci at FDR &lt; 0.05</w:t>
            </w:r>
          </w:p>
        </w:tc>
        <w:tc>
          <w:tcPr>
            <w:tcW w:type="dxa" w:w="4104"/>
            <w:vAlign w:val="center"/>
          </w:tcPr>
          <w:p>
            <w:r>
              <w:t>Largest tissue-specific response</w:t>
            </w:r>
          </w:p>
        </w:tc>
      </w:tr>
      <w:tr>
        <w:trPr>
          <w:cantSplit/>
        </w:trPr>
        <w:tc>
          <w:tcPr>
            <w:tcW w:type="dxa" w:w="2232"/>
            <w:vAlign w:val="center"/>
          </w:tcPr>
          <w:p>
            <w:r>
              <w:t>Preselected pathways</w:t>
            </w:r>
          </w:p>
        </w:tc>
        <w:tc>
          <w:tcPr>
            <w:tcW w:type="dxa" w:w="3024"/>
            <w:vAlign w:val="center"/>
          </w:tcPr>
          <w:p>
            <w:r>
              <w:t>12 of 12 confirmed</w:t>
            </w:r>
          </w:p>
        </w:tc>
        <w:tc>
          <w:tcPr>
            <w:tcW w:type="dxa" w:w="4104"/>
            <w:vAlign w:val="center"/>
          </w:tcPr>
          <w:p>
            <w:r>
              <w:t>Defense/hormone program survives raw preprocessing</w:t>
            </w:r>
          </w:p>
        </w:tc>
      </w:tr>
      <w:tr>
        <w:trPr>
          <w:cantSplit/>
        </w:trPr>
        <w:tc>
          <w:tcPr>
            <w:tcW w:type="dxa" w:w="2232"/>
            <w:vAlign w:val="center"/>
          </w:tcPr>
          <w:p>
            <w:r>
              <w:t>Plate stability</w:t>
            </w:r>
          </w:p>
        </w:tc>
        <w:tc>
          <w:tcPr>
            <w:tcW w:type="dxa" w:w="3024"/>
            <w:vAlign w:val="center"/>
          </w:tcPr>
          <w:p>
            <w:r>
              <w:t>12 of 12 positive in all three plates</w:t>
            </w:r>
          </w:p>
        </w:tc>
        <w:tc>
          <w:tcPr>
            <w:tcW w:type="dxa" w:w="4104"/>
            <w:vAlign w:val="center"/>
          </w:tcPr>
          <w:p>
            <w:r>
              <w:t>No selected pathway is driven by one plate</w:t>
            </w:r>
          </w:p>
        </w:tc>
      </w:tr>
      <w:tr>
        <w:trPr>
          <w:cantSplit/>
        </w:trPr>
        <w:tc>
          <w:tcPr>
            <w:tcW w:type="dxa" w:w="2232"/>
            <w:vAlign w:val="center"/>
          </w:tcPr>
          <w:p>
            <w:r>
              <w:t>Python versus Bioconductor</w:t>
            </w:r>
          </w:p>
        </w:tc>
        <w:tc>
          <w:tcPr>
            <w:tcW w:type="dxa" w:w="3024"/>
            <w:vAlign w:val="center"/>
          </w:tcPr>
          <w:p>
            <w:r>
              <w:t>rho = 0.996; 284/300 shared</w:t>
            </w:r>
          </w:p>
        </w:tc>
        <w:tc>
          <w:tcPr>
            <w:tcW w:type="dxa" w:w="4104"/>
            <w:vAlign w:val="center"/>
          </w:tcPr>
          <w:p>
            <w:r>
              <w:t>Independent computational reproducibility</w:t>
            </w:r>
          </w:p>
        </w:tc>
      </w:tr>
      <w:tr>
        <w:trPr>
          <w:cantSplit/>
        </w:trPr>
        <w:tc>
          <w:tcPr>
            <w:tcW w:type="dxa" w:w="2232"/>
            <w:vAlign w:val="center"/>
          </w:tcPr>
          <w:p>
            <w:r>
              <w:t>RMA versus processed MAS5</w:t>
            </w:r>
          </w:p>
        </w:tc>
        <w:tc>
          <w:tcPr>
            <w:tcW w:type="dxa" w:w="3024"/>
            <w:vAlign w:val="center"/>
          </w:tcPr>
          <w:p>
            <w:r>
              <w:t>rho = 0.601; 158/300 shared</w:t>
            </w:r>
          </w:p>
        </w:tc>
        <w:tc>
          <w:tcPr>
            <w:tcW w:type="dxa" w:w="4104"/>
            <w:vAlign w:val="center"/>
          </w:tcPr>
          <w:p>
            <w:r>
              <w:t>Core ordering persists across substantially different preprocessing</w:t>
            </w:r>
          </w:p>
        </w:tc>
      </w:tr>
    </w:tbl>
    <w:p>
      <w:pPr>
        <w:pStyle w:val="Heading2"/>
      </w:pPr>
      <w:r>
        <w:t>2.3 External NASA evidence is strong but context dependent</w:t>
      </w:r>
    </w:p>
    <w:p>
      <w:r>
        <w:t>The GLDS-7 candidate effects were compared with GeneLab common-pipeline results for GLDS-17, GLDS-37, GLDS-38, GLDS-44, and GLDS-121. Replication required corrected overlap and directional tests. Root-to-GLDS-37 was the strongest transfer. Focused pathway analysis identified nine replicated pathway-study pairs: seven in GLDS-37, one cold-response result in GLDS-38, and one ethylene-signaling result in GLDS-44. GLDS-121 showed substantial overlap but opposite direction for several comparisons, demonstrating biological context dependence rather than universal replication.</w:t>
      </w:r>
    </w:p>
    <w:tbl>
      <w:tblPr>
        <w:tblStyle w:val="LightShading-Accent1"/>
        <w:tblW w:type="auto" w:w="0"/>
        <w:tblLook w:firstColumn="1" w:firstRow="1" w:lastColumn="0" w:lastRow="0" w:noHBand="0" w:noVBand="1" w:val="04A0"/>
      </w:tblPr>
      <w:tblGrid>
        <w:gridCol w:w="3312"/>
        <w:gridCol w:w="3312"/>
        <w:gridCol w:w="3312"/>
      </w:tblGrid>
      <w:tr>
        <w:trPr>
          <w:cantSplit/>
          <w:tblHeader w:val="true"/>
        </w:trPr>
        <w:tc>
          <w:tcPr>
            <w:tcW w:type="dxa" w:w="1584"/>
            <w:vAlign w:val="center"/>
          </w:tcPr>
          <w:p>
            <w:r>
              <w:t>Study</w:t>
            </w:r>
          </w:p>
        </w:tc>
        <w:tc>
          <w:tcPr>
            <w:tcW w:type="dxa" w:w="3744"/>
            <w:vAlign w:val="center"/>
          </w:tcPr>
          <w:p>
            <w:r>
              <w:t>Contribution</w:t>
            </w:r>
          </w:p>
        </w:tc>
        <w:tc>
          <w:tcPr>
            <w:tcW w:type="dxa" w:w="4032"/>
            <w:vAlign w:val="center"/>
          </w:tcPr>
          <w:p>
            <w:r>
              <w:t>Boundary</w:t>
            </w:r>
          </w:p>
        </w:tc>
      </w:tr>
      <w:tr>
        <w:trPr>
          <w:cantSplit/>
        </w:trPr>
        <w:tc>
          <w:tcPr>
            <w:tcW w:type="dxa" w:w="1584"/>
            <w:vAlign w:val="center"/>
          </w:tcPr>
          <w:p>
            <w:r>
              <w:t>GLDS-37</w:t>
            </w:r>
          </w:p>
        </w:tc>
        <w:tc>
          <w:tcPr>
            <w:tcW w:type="dxa" w:w="3744"/>
            <w:vAlign w:val="center"/>
          </w:tcPr>
          <w:p>
            <w:r>
              <w:t>Strongest root transfer; seven replicated defense pathways</w:t>
            </w:r>
          </w:p>
        </w:tc>
        <w:tc>
          <w:tcPr>
            <w:tcW w:type="dxa" w:w="4032"/>
            <w:vAlign w:val="center"/>
          </w:tcPr>
          <w:p>
            <w:r>
              <w:t>Different hardware, assay and ecotypes</w:t>
            </w:r>
          </w:p>
        </w:tc>
      </w:tr>
      <w:tr>
        <w:trPr>
          <w:cantSplit/>
        </w:trPr>
        <w:tc>
          <w:tcPr>
            <w:tcW w:type="dxa" w:w="1584"/>
            <w:vAlign w:val="center"/>
          </w:tcPr>
          <w:p>
            <w:r>
              <w:t>GLDS-38</w:t>
            </w:r>
          </w:p>
        </w:tc>
        <w:tc>
          <w:tcPr>
            <w:tcW w:type="dxa" w:w="3744"/>
            <w:vAlign w:val="center"/>
          </w:tcPr>
          <w:p>
            <w:r>
              <w:t>Cold-response support; paired transcriptome/proteome context</w:t>
            </w:r>
          </w:p>
        </w:tc>
        <w:tc>
          <w:tcPr>
            <w:tcW w:type="dxa" w:w="4032"/>
            <w:vAlign w:val="center"/>
          </w:tcPr>
          <w:p>
            <w:r>
              <w:t>Young BRIC seedlings</w:t>
            </w:r>
          </w:p>
        </w:tc>
      </w:tr>
      <w:tr>
        <w:trPr>
          <w:cantSplit/>
        </w:trPr>
        <w:tc>
          <w:tcPr>
            <w:tcW w:type="dxa" w:w="1584"/>
            <w:vAlign w:val="center"/>
          </w:tcPr>
          <w:p>
            <w:r>
              <w:t>GLDS-44</w:t>
            </w:r>
          </w:p>
        </w:tc>
        <w:tc>
          <w:tcPr>
            <w:tcW w:type="dxa" w:w="3744"/>
            <w:vAlign w:val="center"/>
          </w:tcPr>
          <w:p>
            <w:r>
              <w:t>Ethylene-signaling support</w:t>
            </w:r>
          </w:p>
        </w:tc>
        <w:tc>
          <w:tcPr>
            <w:tcW w:type="dxa" w:w="4032"/>
            <w:vAlign w:val="center"/>
          </w:tcPr>
          <w:p>
            <w:r>
              <w:t>Dark-grown BRIC seedlings</w:t>
            </w:r>
          </w:p>
        </w:tc>
      </w:tr>
      <w:tr>
        <w:trPr>
          <w:cantSplit/>
        </w:trPr>
        <w:tc>
          <w:tcPr>
            <w:tcW w:type="dxa" w:w="1584"/>
            <w:vAlign w:val="center"/>
          </w:tcPr>
          <w:p>
            <w:r>
              <w:t>GLDS-17</w:t>
            </w:r>
          </w:p>
        </w:tc>
        <w:tc>
          <w:tcPr>
            <w:tcW w:type="dxa" w:w="3744"/>
            <w:vAlign w:val="center"/>
          </w:tcPr>
          <w:p>
            <w:r>
              <w:t>Limited focused pathway replication</w:t>
            </w:r>
          </w:p>
        </w:tc>
        <w:tc>
          <w:tcPr>
            <w:tcW w:type="dxa" w:w="4032"/>
            <w:vAlign w:val="center"/>
          </w:tcPr>
          <w:p>
            <w:r>
              <w:t>Higher sucrose concentration affects metabolism/hypoxia</w:t>
            </w:r>
          </w:p>
        </w:tc>
      </w:tr>
      <w:tr>
        <w:trPr>
          <w:cantSplit/>
        </w:trPr>
        <w:tc>
          <w:tcPr>
            <w:tcW w:type="dxa" w:w="1584"/>
            <w:vAlign w:val="center"/>
          </w:tcPr>
          <w:p>
            <w:r>
              <w:t>GLDS-121</w:t>
            </w:r>
          </w:p>
        </w:tc>
        <w:tc>
          <w:tcPr>
            <w:tcW w:type="dxa" w:w="3744"/>
            <w:vAlign w:val="center"/>
          </w:tcPr>
          <w:p>
            <w:r>
              <w:t>Significant overlap with opposing direction</w:t>
            </w:r>
          </w:p>
        </w:tc>
        <w:tc>
          <w:tcPr>
            <w:tcW w:type="dxa" w:w="4032"/>
            <w:vAlign w:val="center"/>
          </w:tcPr>
          <w:p>
            <w:r>
              <w:t>Contextual counterexample, not replication</w:t>
            </w:r>
          </w:p>
        </w:tc>
      </w:tr>
    </w:tbl>
    <w:p>
      <w:pPr>
        <w:pStyle w:val="Heading2"/>
      </w:pPr>
      <w:r>
        <w:t>2.4 A root-specific panel differs from the general NASA core</w:t>
      </w:r>
    </w:p>
    <w:p>
      <w:r>
        <w:t>We separated two hypotheses. The discovery panel contains 12 GLDS-7 root loci covering jasmonate, ethylene, MAP kinase, WRKY, redox, and ubiquitin regulation. Every member was upregulated and passed FDR &lt; 0.01 in the R/Bioconductor root analysis. The comparator panel contains six genes identified by Barker et al. as shared BRIC response candidates: HSP101, ABS4, COR78, PRX39, AAP2, and MAGL4.</w:t>
      </w:r>
    </w:p>
    <w:tbl>
      <w:tblPr>
        <w:tblStyle w:val="LightShading-Accent1"/>
        <w:tblW w:type="auto" w:w="0"/>
        <w:tblLook w:firstColumn="1" w:firstRow="1" w:lastColumn="0" w:lastRow="0" w:noHBand="0" w:noVBand="1" w:val="04A0"/>
      </w:tblPr>
      <w:tblGrid>
        <w:gridCol w:w="3312"/>
        <w:gridCol w:w="3312"/>
        <w:gridCol w:w="3312"/>
      </w:tblGrid>
      <w:tr>
        <w:trPr>
          <w:cantSplit/>
          <w:tblHeader w:val="true"/>
        </w:trPr>
        <w:tc>
          <w:tcPr>
            <w:tcW w:type="dxa" w:w="2088"/>
            <w:vAlign w:val="center"/>
          </w:tcPr>
          <w:p>
            <w:r>
              <w:t>Panel</w:t>
            </w:r>
          </w:p>
        </w:tc>
        <w:tc>
          <w:tcPr>
            <w:tcW w:type="dxa" w:w="4608"/>
            <w:vAlign w:val="center"/>
          </w:tcPr>
          <w:p>
            <w:r>
              <w:t>Genes</w:t>
            </w:r>
          </w:p>
        </w:tc>
        <w:tc>
          <w:tcPr>
            <w:tcW w:type="dxa" w:w="2664"/>
            <w:vAlign w:val="center"/>
          </w:tcPr>
          <w:p>
            <w:r>
              <w:t>Observed GLDS-7 root behavior</w:t>
            </w:r>
          </w:p>
        </w:tc>
      </w:tr>
      <w:tr>
        <w:trPr>
          <w:cantSplit/>
        </w:trPr>
        <w:tc>
          <w:tcPr>
            <w:tcW w:type="dxa" w:w="2088"/>
            <w:vAlign w:val="center"/>
          </w:tcPr>
          <w:p>
            <w:r>
              <w:t>Root defense-regulatory</w:t>
            </w:r>
          </w:p>
        </w:tc>
        <w:tc>
          <w:tcPr>
            <w:tcW w:type="dxa" w:w="4608"/>
            <w:vAlign w:val="center"/>
          </w:tcPr>
          <w:p>
            <w:r>
              <w:t>PUB23, ZAT12, ERF017, RAV1, JAZ1, ERF13, ERF11, ERF2, MPK3, WRKY40, WRKY53, ATL31</w:t>
            </w:r>
          </w:p>
        </w:tc>
        <w:tc>
          <w:tcPr>
            <w:tcW w:type="dxa" w:w="2664"/>
            <w:vAlign w:val="center"/>
          </w:tcPr>
          <w:p>
            <w:r>
              <w:t>12/12 positive; 12/12 FDR &lt; 0.01</w:t>
            </w:r>
          </w:p>
        </w:tc>
      </w:tr>
      <w:tr>
        <w:trPr>
          <w:cantSplit/>
        </w:trPr>
        <w:tc>
          <w:tcPr>
            <w:tcW w:type="dxa" w:w="2088"/>
            <w:vAlign w:val="center"/>
          </w:tcPr>
          <w:p>
            <w:r>
              <w:t>NASA cross-study core</w:t>
            </w:r>
          </w:p>
        </w:tc>
        <w:tc>
          <w:tcPr>
            <w:tcW w:type="dxa" w:w="4608"/>
            <w:vAlign w:val="center"/>
          </w:tcPr>
          <w:p>
            <w:r>
              <w:t>HSP101, ABS4, COR78, PRX39, AAP2, MAGL4</w:t>
            </w:r>
          </w:p>
        </w:tc>
        <w:tc>
          <w:tcPr>
            <w:tcW w:type="dxa" w:w="2664"/>
            <w:vAlign w:val="center"/>
          </w:tcPr>
          <w:p>
            <w:r>
              <w:t>4 positive and 2 negative; none FDR &lt; 0.05</w:t>
            </w:r>
          </w:p>
        </w:tc>
      </w:tr>
    </w:tbl>
    <w:p>
      <w:r>
        <w:t>Among genes present in the p &lt;= 0.01 common-pipeline lists, the root panel showed 5/6 directional agreement with GLDS-37, while the core panel showed 4/6. Neither six-gene directional test was significant by an exact binomial test. These comparisons are descriptive because the supplementary tables contain significance-filtered candidates and missing genes cannot be treated as unchanged. The defensible result is divergence, not superiority: the literature-defined core does not replace the tissue-specific root signature.</w:t>
      </w:r>
    </w:p>
    <w:p>
      <w:pPr>
        <w:pStyle w:val="Heading2"/>
      </w:pPr>
      <w:r>
        <w:t>2.5 GLDS-208 establishes developmental-zone structure in the root panel</w:t>
      </w:r>
    </w:p>
    <w:p>
      <w:r>
        <w:t>GLDS-208 is not a spaceflight experiment. It compares two Arabidopsis root-apex zones measured independently by RNA-seq and microarray, and therefore tests whether the GLDS-7 panel is developmentally structured within roots. Eleven of the 12 root-panel loci were available in the processed RNA-seq table; seven differed between the 0.5-mm and 1.5-mm zones at FDR &lt; 0.05. Four genes were significant in the microarray analysis. Cross-platform effect correlation within this small targeted panel was weak (rho = 0.10), so GLDS-208 supports root-zone dependence but not precise cross-platform replication of effect sizes.</w:t>
      </w:r>
    </w:p>
    <w:tbl>
      <w:tblPr>
        <w:tblStyle w:val="LightShading-Accent1"/>
        <w:tblW w:type="auto" w:w="0"/>
        <w:tblLook w:firstColumn="1" w:firstRow="1" w:lastColumn="0" w:lastRow="0" w:noHBand="0" w:noVBand="1" w:val="04A0"/>
      </w:tblPr>
      <w:tblGrid>
        <w:gridCol w:w="3312"/>
        <w:gridCol w:w="3312"/>
        <w:gridCol w:w="3312"/>
      </w:tblGrid>
      <w:tr>
        <w:trPr>
          <w:cantSplit/>
          <w:tblHeader w:val="true"/>
        </w:trPr>
        <w:tc>
          <w:tcPr>
            <w:tcW w:type="dxa" w:w="3888"/>
            <w:vAlign w:val="center"/>
          </w:tcPr>
          <w:p>
            <w:r>
              <w:t>GLDS-208 result</w:t>
            </w:r>
          </w:p>
        </w:tc>
        <w:tc>
          <w:tcPr>
            <w:tcW w:type="dxa" w:w="2376"/>
            <w:vAlign w:val="center"/>
          </w:tcPr>
          <w:p>
            <w:r>
              <w:t>Root panel</w:t>
            </w:r>
          </w:p>
        </w:tc>
        <w:tc>
          <w:tcPr>
            <w:tcW w:type="dxa" w:w="2376"/>
            <w:vAlign w:val="center"/>
          </w:tcPr>
          <w:p>
            <w:r>
              <w:t>NASA core panel</w:t>
            </w:r>
          </w:p>
        </w:tc>
      </w:tr>
      <w:tr>
        <w:trPr>
          <w:cantSplit/>
        </w:trPr>
        <w:tc>
          <w:tcPr>
            <w:tcW w:type="dxa" w:w="3888"/>
            <w:vAlign w:val="center"/>
          </w:tcPr>
          <w:p>
            <w:r>
              <w:t>Genes available by RNA-seq</w:t>
            </w:r>
          </w:p>
        </w:tc>
        <w:tc>
          <w:tcPr>
            <w:tcW w:type="dxa" w:w="2376"/>
            <w:vAlign w:val="center"/>
          </w:tcPr>
          <w:p>
            <w:r>
              <w:t>11 of 12</w:t>
            </w:r>
          </w:p>
        </w:tc>
        <w:tc>
          <w:tcPr>
            <w:tcW w:type="dxa" w:w="2376"/>
            <w:vAlign w:val="center"/>
          </w:tcPr>
          <w:p>
            <w:r>
              <w:t>6 of 6</w:t>
            </w:r>
          </w:p>
        </w:tc>
      </w:tr>
      <w:tr>
        <w:trPr>
          <w:cantSplit/>
        </w:trPr>
        <w:tc>
          <w:tcPr>
            <w:tcW w:type="dxa" w:w="3888"/>
            <w:vAlign w:val="center"/>
          </w:tcPr>
          <w:p>
            <w:r>
              <w:t>RNA-seq FDR &lt; 0.05</w:t>
            </w:r>
          </w:p>
        </w:tc>
        <w:tc>
          <w:tcPr>
            <w:tcW w:type="dxa" w:w="2376"/>
            <w:vAlign w:val="center"/>
          </w:tcPr>
          <w:p>
            <w:r>
              <w:t>7</w:t>
            </w:r>
          </w:p>
        </w:tc>
        <w:tc>
          <w:tcPr>
            <w:tcW w:type="dxa" w:w="2376"/>
            <w:vAlign w:val="center"/>
          </w:tcPr>
          <w:p>
            <w:r>
              <w:t>4</w:t>
            </w:r>
          </w:p>
        </w:tc>
      </w:tr>
      <w:tr>
        <w:trPr>
          <w:cantSplit/>
        </w:trPr>
        <w:tc>
          <w:tcPr>
            <w:tcW w:type="dxa" w:w="3888"/>
            <w:vAlign w:val="center"/>
          </w:tcPr>
          <w:p>
            <w:r>
              <w:t>Microarray FDR &lt; 0.05</w:t>
            </w:r>
          </w:p>
        </w:tc>
        <w:tc>
          <w:tcPr>
            <w:tcW w:type="dxa" w:w="2376"/>
            <w:vAlign w:val="center"/>
          </w:tcPr>
          <w:p>
            <w:r>
              <w:t>4</w:t>
            </w:r>
          </w:p>
        </w:tc>
        <w:tc>
          <w:tcPr>
            <w:tcW w:type="dxa" w:w="2376"/>
            <w:vAlign w:val="center"/>
          </w:tcPr>
          <w:p>
            <w:r>
              <w:t>1</w:t>
            </w:r>
          </w:p>
        </w:tc>
      </w:tr>
      <w:tr>
        <w:trPr>
          <w:cantSplit/>
        </w:trPr>
        <w:tc>
          <w:tcPr>
            <w:tcW w:type="dxa" w:w="3888"/>
            <w:vAlign w:val="center"/>
          </w:tcPr>
          <w:p>
            <w:r>
              <w:t>RNA-seq versus array same direction</w:t>
            </w:r>
          </w:p>
        </w:tc>
        <w:tc>
          <w:tcPr>
            <w:tcW w:type="dxa" w:w="2376"/>
            <w:vAlign w:val="center"/>
          </w:tcPr>
          <w:p>
            <w:r>
              <w:t>5 paired genes</w:t>
            </w:r>
          </w:p>
        </w:tc>
        <w:tc>
          <w:tcPr>
            <w:tcW w:type="dxa" w:w="2376"/>
            <w:vAlign w:val="center"/>
          </w:tcPr>
          <w:p>
            <w:r>
              <w:t>3 paired genes</w:t>
            </w:r>
          </w:p>
        </w:tc>
      </w:tr>
    </w:tbl>
    <w:p>
      <w:r>
        <w:t>The strongest root-panel zone effects included JAZ1, ERF11, MPK3, WRKY40, WRKY53, ATL31, and ZAT12. Because the study contrasts developmental zones rather than flight and ground, these results define biological context for the panel and cannot be counted as spaceflight replication.</w:t>
      </w:r>
    </w:p>
    <w:p>
      <w:pPr>
        <w:pStyle w:val="Heading2"/>
      </w:pPr>
      <w:r>
        <w:t>2.6 OSD-251 reveals a coordinated gravity gradient</w:t>
      </w:r>
    </w:p>
    <w:p>
      <w:r>
        <w:t>OSD-251 profiled Ler-0 seedlings during spaceflight at microgravity and centrifuge-generated 0.09, 0.18, 0.36, 0.57, and 1 g conditions. In the official GeneLab uG-versus-1G contrast, none of the 12 root-panel genes passed per-gene FDR &lt; 0.05, and all 12 log2 fold changes were negative. Thus, their direction was opposite to the positive GLDS-7 root flight-ground estimates. The experiments differ in ecotype, sampled material, illumination, hardware, and comparison, so this reversal is evidence of context dependence rather than a contradiction attributable to gravity alone.</w:t>
      </w:r>
    </w:p>
    <w:p>
      <w:r>
        <w:t>Across the six OSD-251 gravity levels, however, every root-panel gene had a positive Spearman trend between gravity and its GeneLab group mean. The panel median rho was 0.771; five genes had nominal p &lt; 0.05, although none remained significant after panel-wise FDR correction. An exploratory exact sign test gave p = 0.00049 for 12 of 12 positive trends. Because expression responses are correlated across genes, this sign test is descriptive and not a substitute for a multivariate model or independent experiment.</w:t>
      </w:r>
    </w:p>
    <w:tbl>
      <w:tblPr>
        <w:tblStyle w:val="LightShading-Accent1"/>
        <w:tblW w:type="auto" w:w="0"/>
        <w:tblLook w:firstColumn="1" w:firstRow="1" w:lastColumn="0" w:lastRow="0" w:noHBand="0" w:noVBand="1" w:val="04A0"/>
      </w:tblPr>
      <w:tblGrid>
        <w:gridCol w:w="3312"/>
        <w:gridCol w:w="3312"/>
        <w:gridCol w:w="3312"/>
      </w:tblGrid>
      <w:tr>
        <w:trPr>
          <w:cantSplit/>
          <w:tblHeader w:val="true"/>
        </w:trPr>
        <w:tc>
          <w:tcPr>
            <w:tcW w:type="dxa" w:w="3888"/>
            <w:vAlign w:val="center"/>
          </w:tcPr>
          <w:p>
            <w:r>
              <w:t>OSD-251 metric</w:t>
            </w:r>
          </w:p>
        </w:tc>
        <w:tc>
          <w:tcPr>
            <w:tcW w:type="dxa" w:w="2376"/>
            <w:vAlign w:val="center"/>
          </w:tcPr>
          <w:p>
            <w:r>
              <w:t>Root panel</w:t>
            </w:r>
          </w:p>
        </w:tc>
        <w:tc>
          <w:tcPr>
            <w:tcW w:type="dxa" w:w="2376"/>
            <w:vAlign w:val="center"/>
          </w:tcPr>
          <w:p>
            <w:r>
              <w:t>NASA core panel</w:t>
            </w:r>
          </w:p>
        </w:tc>
      </w:tr>
      <w:tr>
        <w:trPr>
          <w:cantSplit/>
        </w:trPr>
        <w:tc>
          <w:tcPr>
            <w:tcW w:type="dxa" w:w="3888"/>
            <w:vAlign w:val="center"/>
          </w:tcPr>
          <w:p>
            <w:r>
              <w:t>Positive gravity trends</w:t>
            </w:r>
          </w:p>
        </w:tc>
        <w:tc>
          <w:tcPr>
            <w:tcW w:type="dxa" w:w="2376"/>
            <w:vAlign w:val="center"/>
          </w:tcPr>
          <w:p>
            <w:r>
              <w:t>12 of 12</w:t>
            </w:r>
          </w:p>
        </w:tc>
        <w:tc>
          <w:tcPr>
            <w:tcW w:type="dxa" w:w="2376"/>
            <w:vAlign w:val="center"/>
          </w:tcPr>
          <w:p>
            <w:r>
              <w:t>6 of 6</w:t>
            </w:r>
          </w:p>
        </w:tc>
      </w:tr>
      <w:tr>
        <w:trPr>
          <w:cantSplit/>
        </w:trPr>
        <w:tc>
          <w:tcPr>
            <w:tcW w:type="dxa" w:w="3888"/>
            <w:vAlign w:val="center"/>
          </w:tcPr>
          <w:p>
            <w:r>
              <w:t>Median Spearman rho</w:t>
            </w:r>
          </w:p>
        </w:tc>
        <w:tc>
          <w:tcPr>
            <w:tcW w:type="dxa" w:w="2376"/>
            <w:vAlign w:val="center"/>
          </w:tcPr>
          <w:p>
            <w:r>
              <w:t>0.771</w:t>
            </w:r>
          </w:p>
        </w:tc>
        <w:tc>
          <w:tcPr>
            <w:tcW w:type="dxa" w:w="2376"/>
            <w:vAlign w:val="center"/>
          </w:tcPr>
          <w:p>
            <w:r>
              <w:t>0.657</w:t>
            </w:r>
          </w:p>
        </w:tc>
      </w:tr>
      <w:tr>
        <w:trPr>
          <w:cantSplit/>
        </w:trPr>
        <w:tc>
          <w:tcPr>
            <w:tcW w:type="dxa" w:w="3888"/>
            <w:vAlign w:val="center"/>
          </w:tcPr>
          <w:p>
            <w:r>
              <w:t>Nominal gene trends p &lt; 0.05</w:t>
            </w:r>
          </w:p>
        </w:tc>
        <w:tc>
          <w:tcPr>
            <w:tcW w:type="dxa" w:w="2376"/>
            <w:vAlign w:val="center"/>
          </w:tcPr>
          <w:p>
            <w:r>
              <w:t>5</w:t>
            </w:r>
          </w:p>
        </w:tc>
        <w:tc>
          <w:tcPr>
            <w:tcW w:type="dxa" w:w="2376"/>
            <w:vAlign w:val="center"/>
          </w:tcPr>
          <w:p>
            <w:r>
              <w:t>2</w:t>
            </w:r>
          </w:p>
        </w:tc>
      </w:tr>
      <w:tr>
        <w:trPr>
          <w:cantSplit/>
        </w:trPr>
        <w:tc>
          <w:tcPr>
            <w:tcW w:type="dxa" w:w="3888"/>
            <w:vAlign w:val="center"/>
          </w:tcPr>
          <w:p>
            <w:r>
              <w:t>Panel-FDR gene trends &lt; 0.05</w:t>
            </w:r>
          </w:p>
        </w:tc>
        <w:tc>
          <w:tcPr>
            <w:tcW w:type="dxa" w:w="2376"/>
            <w:vAlign w:val="center"/>
          </w:tcPr>
          <w:p>
            <w:r>
              <w:t>0</w:t>
            </w:r>
          </w:p>
        </w:tc>
        <w:tc>
          <w:tcPr>
            <w:tcW w:type="dxa" w:w="2376"/>
            <w:vAlign w:val="center"/>
          </w:tcPr>
          <w:p>
            <w:r>
              <w:t>0</w:t>
            </w:r>
          </w:p>
        </w:tc>
      </w:tr>
      <w:tr>
        <w:trPr>
          <w:cantSplit/>
        </w:trPr>
        <w:tc>
          <w:tcPr>
            <w:tcW w:type="dxa" w:w="3888"/>
            <w:vAlign w:val="center"/>
          </w:tcPr>
          <w:p>
            <w:r>
              <w:t>uG versus 1G gene FDR &lt; 0.05</w:t>
            </w:r>
          </w:p>
        </w:tc>
        <w:tc>
          <w:tcPr>
            <w:tcW w:type="dxa" w:w="2376"/>
            <w:vAlign w:val="center"/>
          </w:tcPr>
          <w:p>
            <w:r>
              <w:t>0</w:t>
            </w:r>
          </w:p>
        </w:tc>
        <w:tc>
          <w:tcPr>
            <w:tcW w:type="dxa" w:w="2376"/>
            <w:vAlign w:val="center"/>
          </w:tcPr>
          <w:p>
            <w:r>
              <w:t>0</w:t>
            </w:r>
          </w:p>
        </w:tc>
      </w:tr>
    </w:tbl>
    <w:p>
      <w:pPr>
        <w:pStyle w:val="Heading2"/>
      </w:pPr>
      <w:r>
        <w:t>2.7 Remaining grounded expansion</w:t>
      </w:r>
    </w:p>
    <w:p>
      <w:r>
        <w:t>Seven datasets remain prioritized for prospective reanalysis: GLDS-120 for genotype and light, GLDS-218 for alternative splicing, GLDS-205 for HSFA2 perturbation, GLDS-147 for ARG1-dependent gravity response, GLDS-213 for cell-autonomous transfer, GLDS-46 for radiation, and GLDS-136 for pressure and hypoxia. They are a frozen analysis roadmap and are not presented as completed evidence.</w:t>
      </w:r>
    </w:p>
    <w:p>
      <w:pPr>
        <w:pStyle w:val="Heading1"/>
      </w:pPr>
      <w:r>
        <w:t>3. Discussion</w:t>
      </w:r>
    </w:p>
    <w:p>
      <w:pPr>
        <w:pStyle w:val="Heading2"/>
      </w:pPr>
      <w:r>
        <w:t>3.1 Principal finding</w:t>
      </w:r>
    </w:p>
    <w:p>
      <w:r>
        <w:t>The principal finding is not a universal spaceflight stress list. It is a reproducible GLDS-7 root defense-regulatory state whose interpretation changes when developmental zone and gravity level are made explicit. GLDS-208 shows that most available panel genes vary within the root apex itself. OSD-251 shows coordinated gravity-associated trends but reverses the GLDS-7 direction in the official uG-versus-1G contrast. Tissue identity, developmental zone, genotype, illumination, hardware, and contrast must therefore be explicit state variables in PlantCellTwin.</w:t>
      </w:r>
    </w:p>
    <w:p>
      <w:pPr>
        <w:pStyle w:val="Heading2"/>
      </w:pPr>
      <w:r>
        <w:t>3.2 Biological interpretation</w:t>
      </w:r>
    </w:p>
    <w:p>
      <w:r>
        <w:t>The root panel links jasmonate and ethylene signaling to MAP kinase and WRKY regulation, with ZAT12 providing a plausible redox-responsive component. The cross-study NASA panel emphasizes heat shock, plastid/redox function, membrane transport, amino-acid transport, and cell-wall peroxidase activity. Their incomplete equivalence suggests a layered model: a broad ROS-plastid-cell-wall stress axis may be present across several spaceflight contexts, while differentiated roots implement a more specific defense and hormone-signaling response.</w:t>
      </w:r>
    </w:p>
    <w:p>
      <w:r>
        <w:t>This layered interpretation is an inference from transcriptomic concordance, not direct measurement of ROS, plastid function, hormone concentration, immunity, or wall mechanics. These phenotypes require prospective assays.</w:t>
      </w:r>
    </w:p>
    <w:p>
      <w:pPr>
        <w:pStyle w:val="Heading2"/>
      </w:pPr>
      <w:r>
        <w:t>3.3 Implications for a digital twin</w:t>
      </w:r>
    </w:p>
    <w:p>
      <w:r>
        <w:t>PlantCellTwin separates observed measurements, statistically derived states, predictions, and mechanistic hypotheses. Its graphical cell is a visual interface, not microscopy. A valid state transition must retain provenance to a dataset, tissue, contrast, processing version, and uncertainty estimate. The expansion studies add axes for gravity dose, radiation, pressure, light, genotype, and regulatory mechanism, enabling falsifiable rather than decorative simulation.</w:t>
      </w:r>
    </w:p>
    <w:p>
      <w:pPr>
        <w:pStyle w:val="Heading2"/>
      </w:pPr>
      <w:r>
        <w:t>3.4 Interpretive boundary</w:t>
      </w:r>
    </w:p>
    <w:p>
      <w:r>
        <w:t>The gravity-gradient coherence in OSD-251 is a panel-level exploratory result, not proof that gravity directly controls each gene. Per-gene FDR results remain negative, the genes are correlated, and the study differs from GLDS-7 across several biological and technical variables. The defensible contribution is a falsifiable context-dependent model that now integrates three numerically analyzed NASA studies, not a causal mechanism.</w:t>
      </w:r>
    </w:p>
    <w:p>
      <w:pPr>
        <w:pStyle w:val="Heading1"/>
      </w:pPr>
      <w:r>
        <w:t>4. Materials and methods</w:t>
      </w:r>
    </w:p>
    <w:p>
      <w:pPr>
        <w:pStyle w:val="Heading2"/>
      </w:pPr>
      <w:r>
        <w:t>4.1 Discovery dataset and design</w:t>
      </w:r>
    </w:p>
    <w:p>
      <w:r>
        <w:t>GLDS-7/GSE56659 contains 36 Arabidopsis samples from three experimental plates, including whole-plant and separated shoot, hypocotyl, and root material under spaceflight and matched ground conditions. Analyses were stratified by tissue. Plate was modeled as a blocking factor.</w:t>
      </w:r>
    </w:p>
    <w:p>
      <w:pPr>
        <w:pStyle w:val="Heading2"/>
      </w:pPr>
      <w:r>
        <w:t>4.2 R/Bioconductor workflow</w:t>
      </w:r>
    </w:p>
    <w:p>
      <w:r>
        <w:t>CEL files were read with affy 1.84.0 and normalized with robust multichip average background correction, quantile normalization, and median-polish summarization. Probes were mapped to Arabidopsis loci; one representative probeset per locus was selected by overall variance without using condition labels. For each tissue, limma 3.62.1 fitted a condition-plus-plate design and moderated variance with eBayes. Benjamini-Hochberg FDR was controlled within tissue.</w:t>
      </w:r>
    </w:p>
    <w:p>
      <w:pPr>
        <w:pStyle w:val="Heading2"/>
      </w:pPr>
      <w:r>
        <w:t>4.3 Independent Python workflow</w:t>
      </w:r>
    </w:p>
    <w:p>
      <w:r>
        <w:t>A separate Python implementation applied the same broad preprocessing and model structure without calling the R analysis. Its purpose was implementation-level reproducibility. Concordance was quantified using Spearman correlation across shared locus effects, top-300 overlap, and directional agreement.</w:t>
      </w:r>
    </w:p>
    <w:p>
      <w:pPr>
        <w:pStyle w:val="Heading2"/>
      </w:pPr>
      <w:r>
        <w:t>4.4 Pathway and cross-study analysis</w:t>
      </w:r>
    </w:p>
    <w:p>
      <w:r>
        <w:t>Gene Ontology Biological Process enrichment used a measured-gene universe and one-sided hypergeometric tests with Benjamini-Hochberg correction. Selected root-up processes were frozen before raw-data confirmation. External comparisons used Barker et al. Supplementary Data 4 common-pipeline estimates for five studies. Overlap and direction tests were corrected across the full comparison family.</w:t>
      </w:r>
    </w:p>
    <w:p>
      <w:pPr>
        <w:pStyle w:val="Heading2"/>
      </w:pPr>
      <w:r>
        <w:t>4.5 Marker-panel comparison</w:t>
      </w:r>
    </w:p>
    <w:p>
      <w:r>
        <w:t>The 12-gene panel was selected from the independently reproduced root response to represent multiple defense-regulatory components. The six-gene comparator was defined exclusively from the published cross-BRIC network analysis. Panel direction was compared only among genes available in the significance-filtered external tables. Missing genes were not classified as null effects.</w:t>
      </w:r>
    </w:p>
    <w:p>
      <w:pPr>
        <w:pStyle w:val="Heading2"/>
      </w:pPr>
      <w:r>
        <w:t>4.6 GLDS-208 root-zone analysis</w:t>
      </w:r>
    </w:p>
    <w:p>
      <w:r>
        <w:t>GeneLab processed RNA-seq and microarray differential-expression tables were downloaded for GLDS-208. The prespecified 12-gene root panel and six-gene NASA comparator were joined by TAIR locus. The primary contrast was root zone I (0.5 mm) versus root zone II (1.5 mm). NASA-provided adjusted p values were used without recalculation. Multiple microarray probes for one locus were summarized by median log2 fold change and minimum adjusted p value for descriptive cross-platform comparison. GLDS-208 was classified as a developmental-context test, not spaceflight validation.</w:t>
      </w:r>
    </w:p>
    <w:p>
      <w:pPr>
        <w:pStyle w:val="Heading2"/>
      </w:pPr>
      <w:r>
        <w:t>4.7 OSD-251 fractional-gravity analysis</w:t>
      </w:r>
    </w:p>
    <w:p>
      <w:r>
        <w:t>The GeneLab processed RNA-seq differential-expression table for OSD-251 was used. The official microgravity-versus-1g log2 fold changes and adjusted p values were retained as the primary per-gene evidence. For an exploratory dose analysis, Spearman correlations were calculated between gravity level (0, 0.09, 0.18, 0.36, 0.57, and 1 g) and the corresponding GeneLab group mean for each prespecified gene. Trend p values were corrected within each panel by Benjamini-Hochberg. Exact sign tests summarized the number of positive trends, with explicit recognition that genes are correlated and therefore do not constitute independent Bernoulli trials.</w:t>
      </w:r>
    </w:p>
    <w:p>
      <w:pPr>
        <w:pStyle w:val="Heading2"/>
      </w:pPr>
      <w:r>
        <w:t>4.8 Reproducibility and claim control</w:t>
      </w:r>
    </w:p>
    <w:p>
      <w:r>
        <w:t>Scripts, environment versions, checksums, complete gene-level results, panel definitions, and the site release are archived together. Computational reproduction, external dataset transfer, and prospective biological validation are labeled separately. The study makes no claim that flight effects are caused by microgravity alone.</w:t>
      </w:r>
    </w:p>
    <w:p>
      <w:pPr>
        <w:pStyle w:val="Heading1"/>
      </w:pPr>
      <w:r>
        <w:t>5. Prospective validation</w:t>
      </w:r>
    </w:p>
    <w:p>
      <w:r>
        <w:t>The preregistered experiment uses Arabidopsis WS-0 roots, at least six independent biological replicates per condition in each of three blocks, randomized growth and assay positions, blinded sample identifiers, and RT-qPCR for the 12-gene root panel with at least two validated reference genes. The primary endpoint is the block-adjusted mean standardized panel score. Biological replication requires both a significant primary score and at least 9 of 12 genes retaining the predicted direction. A terrestrial clinostat or random-positioning machine tests an analogue hypothesis and must not be described as orbital replication.</w:t>
      </w:r>
    </w:p>
    <w:p>
      <w:pPr>
        <w:pStyle w:val="Heading1"/>
      </w:pPr>
      <w:r>
        <w:t>6. Limitations</w:t>
      </w:r>
    </w:p>
    <w:p>
      <w:r>
        <w:t>GLDS-7 has modest sample size and bundles multiple orbital exposures. External studies differ in assay, hardware, ecotype, age, light, medium, and tissue. GLDS-208 is a terrestrial developmental-zone reference and cannot validate a flight effect. In OSD-251, no target gene passes per-gene FDR in the uG-versus-1G contrast; the coordinated gravity trends are exploratory and gene dependence makes the sign-test p value optimistic. Enrichment depends on gene-set annotations and thresholding. Tissue-level transcriptomics cannot establish single-cell behavior. Seven expansion studies remain unprocessed. Prospective and perturbational experiments remain necessary.</w:t>
      </w:r>
    </w:p>
    <w:p>
      <w:pPr>
        <w:pStyle w:val="Heading1"/>
      </w:pPr>
      <w:r>
        <w:t>7. Conclusions</w:t>
      </w:r>
    </w:p>
    <w:p>
      <w:r>
        <w:t>PlantCellTwin identifies a computationally reproducible Arabidopsis root defense-regulatory response associated with spaceflight and demonstrates that it is not interchangeable with a general cross-study stress panel. GLDS-208 establishes that the panel is developmentally structured within the root apex. OSD-251 adds a coordinated gravity-gradient signal while showing that the GLDS-7 direction is not universal. Together, these findings support a context-dependent digital twin whose state includes tissue, developmental zone, genotype, hardware, illumination, and gravity. The model generates falsifiable hypotheses but does not yet establish mechanism.</w:t>
      </w:r>
    </w:p>
    <w:p>
      <w:pPr>
        <w:pStyle w:val="Heading1"/>
      </w:pPr>
      <w:r>
        <w:t>Data and code availability</w:t>
      </w:r>
    </w:p>
    <w:p>
      <w:r>
        <w:t xml:space="preserve">Primary data are publicly available from NASA OSDR/GeneLab accessions GLDS-7, GLDS-208, and OSD-251 and from GEO accession GSE56659. Versioned scripts, checksums, complete gene-level outputs, panel definitions, and the prospective protocol accompany this manuscript. The interactive PlantCellTwin simulator is publicly available at </w:t>
      </w:r>
      <w:hyperlink r:id="rId9">
        <w:r>
          <w:rPr>
            <w:color w:val="0563C1"/>
            <w:u w:val="single"/>
          </w:rPr>
          <w:t>https://orbital-cell-twin-osdr.fuganti.chatgpt.site</w:t>
        </w:r>
      </w:hyperlink>
      <w:r>
        <w:t>. The simulator is a transparent research interface and is not treated as independent biological evidence.</w:t>
      </w:r>
    </w:p>
    <w:p>
      <w:pPr>
        <w:pStyle w:val="Heading1"/>
      </w:pPr>
      <w:r>
        <w:t>References</w:t>
      </w:r>
    </w:p>
    <w:p>
      <w:pPr>
        <w:ind w:left="317" w:hanging="317"/>
      </w:pPr>
      <w:r>
        <w:rPr>
          <w:sz w:val="18"/>
        </w:rPr>
        <w:t>1. Barker R, Kruse CPS, Johnson C, et al. Meta-analysis of the space flight and microgravity response of the Arabidopsis plant transcriptome. npj Microgravity. 2023;9:21. doi:10.1038/s41526-023-00247-6.</w:t>
      </w:r>
    </w:p>
    <w:p>
      <w:pPr>
        <w:ind w:left="317" w:hanging="317"/>
      </w:pPr>
      <w:r>
        <w:rPr>
          <w:sz w:val="18"/>
        </w:rPr>
        <w:t>2. Ray S, Gebre S, Fogle H, et al. GeneLab: Omics database for spaceflight experiments. Bioinformatics. 2019;35:1753-1759. doi:10.1093/bioinformatics/bty884.</w:t>
      </w:r>
    </w:p>
    <w:p>
      <w:pPr>
        <w:ind w:left="317" w:hanging="317"/>
      </w:pPr>
      <w:r>
        <w:rPr>
          <w:sz w:val="18"/>
        </w:rPr>
        <w:t>3. Overbey EG, Saravia-Butler A, Zhang Z, et al. NASA GeneLab RNA-seq consensus pipeline: standardized processing of short-read RNA-seq data. iScience. 2021;24:102361. doi:10.1016/j.isci.2021.102361.</w:t>
      </w:r>
    </w:p>
    <w:p>
      <w:pPr>
        <w:ind w:left="317" w:hanging="317"/>
      </w:pPr>
      <w:r>
        <w:rPr>
          <w:sz w:val="18"/>
        </w:rPr>
        <w:t>4. Paul AL, Zupanska AK, Ostrow DT, et al. Spaceflight transcriptomes: unique responses to a novel environment. Astrobiology. 2012;12:40-56. doi:10.1089/ast.2011.0696.</w:t>
      </w:r>
    </w:p>
    <w:p>
      <w:pPr>
        <w:ind w:left="317" w:hanging="317"/>
      </w:pPr>
      <w:r>
        <w:rPr>
          <w:sz w:val="18"/>
        </w:rPr>
        <w:t>5. Choi WG, Barker RJ, Kim SH, Swanson SJ, Gilroy S. Variation in the transcriptome of different ecotypes of Arabidopsis thaliana reveals signatures of oxidative stress in plant responses to spaceflight. American Journal of Botany. 2019;106:123-136.</w:t>
      </w:r>
    </w:p>
    <w:p>
      <w:pPr>
        <w:ind w:left="317" w:hanging="317"/>
      </w:pPr>
      <w:r>
        <w:rPr>
          <w:sz w:val="18"/>
        </w:rPr>
        <w:t>6. Kruse CPS, Basu P, Luesse DR, Wyatt SE. Transcriptome and proteome responses in RNAlater preserved tissue of Arabidopsis thaliana from the International Space Station. BMC Plant Biology. 2020;20:237.</w:t>
      </w:r>
    </w:p>
    <w:p>
      <w:pPr>
        <w:ind w:left="317" w:hanging="317"/>
      </w:pPr>
      <w:r>
        <w:rPr>
          <w:sz w:val="18"/>
        </w:rPr>
        <w:t>7. Herranz R, Vandenbrink JP, Villacampa A, et al. RNAseq analysis of the response of Arabidopsis thaliana to fractional gravity under blue-light stimulation during spaceflight. Frontiers in Plant Science. 2019;10:1529. doi:10.3389/fpls.2019.01529.</w:t>
      </w:r>
    </w:p>
    <w:p>
      <w:pPr>
        <w:ind w:left="317" w:hanging="317"/>
      </w:pPr>
      <w:r>
        <w:rPr>
          <w:sz w:val="18"/>
        </w:rPr>
        <w:t>8. NASA Open Science Data Repository. GLDS-7: The Arabidopsis spaceflight transcriptome: comparison of whole plants and discrete tissues.</w:t>
      </w:r>
    </w:p>
    <w:p>
      <w:pPr>
        <w:ind w:left="317" w:hanging="317"/>
      </w:pPr>
      <w:r>
        <w:rPr>
          <w:sz w:val="18"/>
        </w:rPr>
        <w:t>9. NASA OSDR. GLDS-208: Comparative gene expression analysis in the Arabidopsis thaliana root apex using RNA-seq and microarray transcriptome profiles.</w:t>
      </w:r>
    </w:p>
    <w:p>
      <w:pPr>
        <w:ind w:left="317" w:hanging="317"/>
      </w:pPr>
      <w:r>
        <w:rPr>
          <w:sz w:val="18"/>
        </w:rPr>
        <w:t>10. Ritchie ME, Phipson B, Wu D, et al. limma powers differential expression analyses for RNA-sequencing and microarray studies. Nucleic Acids Research. 2015;43:e47. doi:10.1093/nar/gkv007.</w:t>
      </w:r>
    </w:p>
    <w:p>
      <w:pPr>
        <w:ind w:left="317" w:hanging="317"/>
      </w:pPr>
      <w:r>
        <w:rPr>
          <w:sz w:val="18"/>
        </w:rPr>
        <w:t>11. Bolstad BM, Irizarry RA, Astrand M, Speed TP. A comparison of normalization methods for high density oligonucleotide array data based on variance and bias. Bioinformatics. 2003;19:185-193.</w:t>
      </w:r>
    </w:p>
    <w:p>
      <w:pPr>
        <w:ind w:left="317" w:hanging="317"/>
      </w:pPr>
      <w:r>
        <w:rPr>
          <w:sz w:val="18"/>
        </w:rPr>
        <w:t>12. Benjamini Y, Hochberg Y. Controlling the false discovery rate: a practical and powerful approach to multiple testing. Journal of the Royal Statistical Society Series B. 1995;57:289-300.</w:t>
      </w:r>
    </w:p>
    <w:sectPr w:rsidR="00FC693F" w:rsidRPr="0006063C" w:rsidSect="00034616">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PlantCellTwin research manuscript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4B3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44B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44B3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bital-cell-twin-osdr.fuganti.chatgpt.site"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PlantCellTwin gravity responsive root defense manuscript</dc:title>
  <dc:subject/>
  <dc:creator>Lissandra Kruse Fuganti</dc:creator>
  <cp:keywords/>
  <dc:description>generated by python-docx</dc:description>
  <cp:lastModifiedBy/>
  <cp:revision>1</cp:revision>
  <dcterms:created xsi:type="dcterms:W3CDTF">2013-12-23T23:15:00Z</dcterms:created>
  <dcterms:modified xsi:type="dcterms:W3CDTF">2013-12-23T23:15:00Z</dcterms:modified>
  <cp:category/>
</cp:coreProperties>
</file>